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MATERIAL SAFETY DATA SHEET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083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IDENTIFICATION OF THE SUBATANCE/PREPARATION AND OF THE COMPANY/UNDERTAKIN</w:t>
      </w:r>
    </w:p>
    <w:p w:rsidR="00C16269" w:rsidRPr="00EC2584" w:rsidRDefault="00EC2584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FSUE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 xml:space="preserve"> «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SDTB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 xml:space="preserve"> «</w:t>
      </w:r>
      <w:proofErr w:type="spellStart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Technolog</w:t>
      </w:r>
      <w:proofErr w:type="spellEnd"/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>»</w:t>
      </w:r>
    </w:p>
    <w:p w:rsidR="00C16269" w:rsidRPr="005342A8" w:rsidRDefault="00EC2584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Address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: 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Russia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, 192076, </w:t>
      </w:r>
      <w:proofErr w:type="gramStart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Saint-Petersburg</w:t>
      </w:r>
      <w:proofErr w:type="gramEnd"/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Sovetsky</w:t>
      </w:r>
      <w:proofErr w:type="spellEnd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prospect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. </w:t>
      </w:r>
      <w:r w:rsidR="00C16269"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>33-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>а</w:t>
      </w:r>
      <w:r w:rsidR="00C16269"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</w:p>
    <w:p w:rsidR="00C16269" w:rsidRPr="00C16269" w:rsidRDefault="00EC2584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Tel</w:t>
      </w:r>
      <w:r w:rsidR="00C16269" w:rsidRPr="00C16269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.: +7 (812) 244-73-73; +7 (812) 244-73-56 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Fax</w:t>
      </w:r>
      <w:r w:rsidR="00C16269" w:rsidRPr="00C16269">
        <w:rPr>
          <w:rFonts w:ascii="Verdana" w:eastAsia="SimSun" w:hAnsi="Verdana" w:cs="Verdana"/>
          <w:color w:val="000000"/>
          <w:sz w:val="20"/>
          <w:szCs w:val="20"/>
          <w:lang w:val="en-US"/>
        </w:rPr>
        <w:t>: +7 (812) 700-36-37</w:t>
      </w:r>
    </w:p>
    <w:p w:rsidR="004C6DDC" w:rsidRDefault="00C16269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C16269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E728E5">
          <w:rPr>
            <w:rStyle w:val="a9"/>
            <w:rFonts w:ascii="Verdana" w:eastAsia="SimSun" w:hAnsi="Verdana" w:cs="Verdana"/>
            <w:sz w:val="20"/>
            <w:szCs w:val="20"/>
            <w:lang w:val="en-US"/>
          </w:rPr>
          <w:t>supply@sktb-technolog.ru</w:t>
        </w:r>
      </w:hyperlink>
    </w:p>
    <w:p w:rsidR="00E728E5" w:rsidRPr="00E728E5" w:rsidRDefault="00E728E5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Website: </w:t>
      </w:r>
      <w:hyperlink r:id="rId8" w:history="1">
        <w:r w:rsidRPr="003D2946">
          <w:rPr>
            <w:rStyle w:val="a9"/>
            <w:rFonts w:ascii="Verdana" w:eastAsia="SimSun" w:hAnsi="Verdana" w:cs="Verdana"/>
            <w:sz w:val="20"/>
            <w:szCs w:val="20"/>
            <w:lang w:val="en-US"/>
          </w:rPr>
          <w:t>http://www.sktb-technolog.ru</w:t>
        </w:r>
      </w:hyperlink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97725F" w:rsidRDefault="005342A8" w:rsidP="009772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97725F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COMPOSITION/INFORMATION ON INGREDIENTS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</w:pPr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CHEMICAL </w:t>
      </w:r>
      <w:proofErr w:type="gramStart"/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>NAME :</w:t>
      </w:r>
      <w:proofErr w:type="gramEnd"/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 </w:t>
      </w:r>
      <w:r w:rsidRPr="005342A8"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  <w:t>Hydroxylamine Hydrochloride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</w:pPr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CAS REGISTRY NUMBER: </w:t>
      </w:r>
      <w:r w:rsidRPr="005342A8"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  <w:t>5470-11-1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333333"/>
          <w:sz w:val="20"/>
          <w:szCs w:val="20"/>
          <w:lang w:val="en-US"/>
        </w:rPr>
      </w:pPr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MOLECULAR </w:t>
      </w:r>
      <w:proofErr w:type="gramStart"/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>FORMULA :</w:t>
      </w:r>
      <w:proofErr w:type="gramEnd"/>
      <w:r w:rsidRPr="005342A8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 </w:t>
      </w:r>
      <w:r w:rsidRPr="005342A8">
        <w:rPr>
          <w:rFonts w:ascii="Arial" w:eastAsia="SimSun" w:hAnsi="Arial" w:cs="Arial"/>
          <w:color w:val="333333"/>
          <w:sz w:val="20"/>
          <w:szCs w:val="20"/>
          <w:lang w:val="en-US"/>
        </w:rPr>
        <w:t>H</w:t>
      </w:r>
      <w:r w:rsidRPr="005342A8">
        <w:rPr>
          <w:rFonts w:ascii="Arial" w:eastAsia="SimSun" w:hAnsi="Arial" w:cs="Arial"/>
          <w:color w:val="333333"/>
          <w:sz w:val="13"/>
          <w:szCs w:val="13"/>
          <w:lang w:val="en-US"/>
        </w:rPr>
        <w:t>3</w:t>
      </w:r>
      <w:r w:rsidRPr="005342A8">
        <w:rPr>
          <w:rFonts w:ascii="Arial" w:eastAsia="SimSun" w:hAnsi="Arial" w:cs="Arial"/>
          <w:color w:val="333333"/>
          <w:sz w:val="20"/>
          <w:szCs w:val="20"/>
          <w:lang w:val="en-US"/>
        </w:rPr>
        <w:t>NO</w:t>
      </w:r>
      <w:r w:rsidRPr="005342A8">
        <w:rPr>
          <w:rFonts w:ascii="Arial" w:eastAsia="SimSun" w:hAnsi="Arial" w:cs="Arial"/>
          <w:color w:val="333333"/>
          <w:sz w:val="13"/>
          <w:szCs w:val="13"/>
          <w:lang w:val="en-US"/>
        </w:rPr>
        <w:t>.</w:t>
      </w:r>
      <w:r w:rsidRPr="005342A8">
        <w:rPr>
          <w:rFonts w:ascii="Arial" w:eastAsia="SimSun" w:hAnsi="Arial" w:cs="Arial"/>
          <w:color w:val="333333"/>
          <w:sz w:val="20"/>
          <w:szCs w:val="20"/>
          <w:lang w:val="en-US"/>
        </w:rPr>
        <w:t>HCl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333333"/>
          <w:sz w:val="20"/>
          <w:szCs w:val="20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HAZARDS INDENTIFICATION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Potential Acute Health Effects: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Very hazardous in case of skin contact (irritant), of eye contact (irritant), of ingestion, of inhalation. Slightly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hazardous in case of skin contact (corrosive, sensitizer), of eye contact (corrosive). The amount of tissue damage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depends on length of contact. Eye contact can result in corneal damage or blindness. Skin contact can produce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inflammation and blistering. Inhalation of dust will produce irritation to gastro-intestinal or respiratory tract,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characterized by burning, sneezing and coughing. Severe over-exposure can produce lung damage, choking,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unconsciousness or death. Inflammation of the eye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is characterized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by redness, watering, and itching. Skin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inflammation is characterized by itching, scaling, reddening, or, occasionally, blistering.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Potential Chronic Health Effects: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Slightly hazardous in case of skin contact (sensitizer).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17"/>
          <w:szCs w:val="17"/>
          <w:lang w:val="en-US"/>
        </w:rPr>
        <w:t>CARCINOGENIC EFFECTS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: Not available.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17"/>
          <w:szCs w:val="17"/>
          <w:lang w:val="en-US"/>
        </w:rPr>
        <w:t>MUTAGENIC EFFECTS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: Mutagenic for mammalian somatic cells. Mutagenic for bacteria and/or yeast.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17"/>
          <w:szCs w:val="17"/>
          <w:lang w:val="en-US"/>
        </w:rPr>
        <w:t>TERATOGENIC EFFECTS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: Not available.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17"/>
          <w:szCs w:val="17"/>
          <w:lang w:val="en-US"/>
        </w:rPr>
        <w:t>DEVELOPMENTAL TOXICITY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: Not available.</w:t>
      </w:r>
    </w:p>
    <w:p w:rsid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The substance may be toxic to blood, cardiovascular system, upper respiratory tract, skin, eyes. Repeated or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prolonged exposure to the substance can produce target organs damage. Repeated exposure of the eyes to a low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level of dust can produce eye irritation. Repeated skin exposure can produce local skin destruction, or dermatitis.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Repeated inhalation of dust can produce varying degree of respiratory irritation or lung damage. Repeated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exposure to a highly toxic material may produce general deterioration of health by an accumulation in one or many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human organs.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First aid Measures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Eye Contact: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Check for and remove any contact lenses. In case of contact, immediately flush eyes with plenty of water for at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least 15 minutes. Cold water may be used. Get medical attention immediately.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Skin Contact: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 case of contact, immediately flush skin with plenty of water for at least 15 minutes while removing contaminated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clothing and shoes. Cover the irritated skin with an emollient. Cold water may be used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.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Wash clothing before reuse.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Thoroughly clean shoes before reuse. Get medical attention immediately.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Ingestion: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If swallowed, do not induce vomiting unless directed to do so by medical personnel. Never give anything by mouth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to an unconscious person. Loosen tight clothing such as a collar, tie, belt or waistband. Get medical attention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immediately.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Inhalation: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If inhaled, remove to fresh air. If not breathing, give artificial respiration. If breathing is difficult, give oxygen. Get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medical attention.</w:t>
      </w: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Fire Fighting Measures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Extinguishing Media: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SMALL FIRE: Use DRY chemical powder.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LARGE FIRE: Use water spray, fog or foam. Do not use water jet.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Flash Point: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CLOSED CUP: 152°C (305.6°F).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Explosion Hazards in Presence of Various Substances: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Slightly explosive in presence of open flames and sparks, of heat.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Non-explosive in presence of shocks.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Accidental Release Measures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Small Spill: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Use appropriate tools to put the spilled solid in a convenient waste disposal container.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lastRenderedPageBreak/>
        <w:t>Large Spill: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Corrosive solid. Poisonous solid.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Stop leak if without risk. Do not get water inside container. Do not touch spilled material. Use water spray to reduce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vapors. Prevent entry into sewers, basements or confined areas; dike if needed. Eliminate all ignition sources. Call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for assistance on disposal.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Handling and Storage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Handling:</w:t>
      </w:r>
    </w:p>
    <w:p w:rsidR="002F1832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Keep container dry. Keep away from heat. Keep away from sources of ignition. Empty containers pose a fire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risk,</w:t>
      </w:r>
      <w:proofErr w:type="gramEnd"/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evaporate the residue under a fume hood. Ground all equipment containing material. Do not ingest. Do not breathe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dust. Never add water to this product. In case of insufficient ventilation, wear suitable respiratory equipment. If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ingested, seek medical advice immediately and show the container or the label. Avoid contact with skin and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proofErr w:type="spell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eyes.Keep</w:t>
      </w:r>
      <w:proofErr w:type="spell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away from incompatibles such as oxidizing agents, combustible materials, organic materials, alkalis.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Storage: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Keep container tightly closed. Keep container in a cool, well-ventilated area. Hygroscopic Moisture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sensitive.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Exposure Controls, Personal Protection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Engineering Controls: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Use process enclosures, local exhaust ventilation, or other engineering controls to keep airborne levels below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recommended exposure limits. If user operations generate dust, fume or mist, use ventilation to keep exposure to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airborne contaminants below the exposure limit.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Personal Protective Equipment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Splash goggles. Synthetic apron. Vapor and dust respirator. Be sure to use an approved/certified respirator or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equivalent. Gloves.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PHYSICAL AND CHEMICAL PROPERTIES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Physical State: </w:t>
      </w:r>
      <w:r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>Solid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Appearance: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White to yellowish.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Odor: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Odorless.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proofErr w:type="gramStart"/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pH</w:t>
      </w:r>
      <w:proofErr w:type="gramEnd"/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3.2 [Acidic.]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Boiling Point: </w:t>
      </w:r>
      <w:r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220 </w:t>
      </w:r>
      <w:proofErr w:type="spellStart"/>
      <w:r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>d</w:t>
      </w:r>
      <w:bookmarkStart w:id="0" w:name="_GoBack"/>
      <w:bookmarkEnd w:id="0"/>
      <w:r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>eg</w:t>
      </w:r>
      <w:proofErr w:type="spellEnd"/>
      <w:r w:rsidRPr="005342A8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 @ 760 mmHg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Melting Point: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Decomposition temperature: 151°C (303.8°F) -157 C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Solubility: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Easily soluble in hot water.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Specific Gravity/Density: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Density: 1.67 (Water = 1)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Molecular Weight: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69.49 g/mole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Stability and Reactivity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Chemical Stability: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The product is stable.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Incompatibilities with Other Materials: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Reactive with oxidizing agents, combustible materials,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organic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materials, alkalis.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Hazardous Polymerization: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Will not occur.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ACUTE TOXICITY DATA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 xml:space="preserve">Routes of Entry: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Inhalation. Ingestion.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 xml:space="preserve">Toxicity to Animals: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Acute oral toxicity (LD50): 141 mg/kg [Rat].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Special Remarks on other Toxic Effects on Humans: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Acute Potential Health Effects: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Skin: Depending on the duration of skin contact, it may cause reddening, discomfort, severe irritation, and possible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chemical burns. Chemical burns result in blistering of the skin and possible scarring. Skin contact may cause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allergic sensitization and reaction in susceptible individuals.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Eyes: Contact with eyes will cause severe irritation, pain, reddening, watering, and possibly burns, corneal damage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and blindness.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Inhalation: It may be destructive to the tissues of the mucous membranes and upper respiratory tract. </w:t>
      </w:r>
      <w:proofErr w:type="spell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Symtoms</w:t>
      </w:r>
      <w:proofErr w:type="spellEnd"/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may include respiratory tract irritation or burning sensation/burns of the mucous membranes, breathing difficulty,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coughing, wheezing, shortness of breath, dyspnea (labored breathing), nasal congestion, laryngitis, sore throat,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headache, nausea, vomiting, and </w:t>
      </w:r>
      <w:proofErr w:type="spell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Methemoglobinemia</w:t>
      </w:r>
      <w:proofErr w:type="spell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(a condition that affects the ability of the blood to carry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oxygen), and cyanosis (blue color of the skin due to lack of oxygen). Inhalation of low levels can cause allergic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sensitization and reaction in susceptible individuals. Severe inhalation over-exposure can be fatal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as a result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of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spasm, inflammation, edema of the larynx and bronchi, chemical pneumonitis, and pulmonary edema. Symptoms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of exposure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may be delayed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Ingestion: Harmful if swallowed. It can cause severe irritation and burns of the mouth, throat, esophagus, and other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tissues of the digestive tract, nausea, vomiting,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diarrhea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. Conversion of hemoglobin to </w:t>
      </w:r>
      <w:proofErr w:type="spell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methemoglobin</w:t>
      </w:r>
      <w:proofErr w:type="spell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may also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occur producing cyanosis (see acute inhalation). It may also cause a fall in blood pressure, ringing in the ears,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shortness of breath, and affect behavior/central nervous system (headache, vertigo, convulsions). Ingestion of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large volumes may cause coma and be fatal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as a result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of circulatory collapse.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Chronic Potential Health Effects: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Skin: Repeated or prolonged skin contact to low concentrations may cause dermatitis.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Inhalation: Repeated or prolonged inhalation may cause allergic reaction in sensitized individuals.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lastRenderedPageBreak/>
        <w:t>Inhalation/Ingestion: Prolonged or repeated exposure by inhalation or ingestion may affect metabolism (decreased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appetite, weight loss), spleen, thyroid and blood/cause bone marrow </w:t>
      </w: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damage(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decreased leukocyte count, anemia).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It may also cause liver, kidney, and bone marrow damage. This substance is a blood toxin. Prolonged or repeated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exposure by ingestion or inhalation may also result in the conversion of hemoglobin to </w:t>
      </w:r>
      <w:proofErr w:type="spell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methemoglobin</w:t>
      </w:r>
      <w:proofErr w:type="spell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producing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cyanosis.</w:t>
      </w:r>
    </w:p>
    <w:p w:rsidR="005342A8" w:rsidRPr="005342A8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Medical Conditions Aggravated by Exposure: Pre-existing disorders of the blood, skin, liver, kidneys, or lungs.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ECOLOGICAL INFORMATION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proofErr w:type="spellStart"/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Ecotoxicity</w:t>
      </w:r>
      <w:proofErr w:type="spellEnd"/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5342A8">
        <w:rPr>
          <w:rFonts w:ascii="Arial" w:eastAsia="SimSun" w:hAnsi="Arial" w:cs="Arial"/>
          <w:color w:val="000000"/>
          <w:sz w:val="20"/>
          <w:szCs w:val="20"/>
          <w:lang w:val="en-US"/>
        </w:rPr>
        <w:t>Not available.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BOD5 and COD: </w:t>
      </w:r>
      <w:r w:rsidRPr="005342A8">
        <w:rPr>
          <w:rFonts w:ascii="Arial" w:eastAsia="SimSun" w:hAnsi="Arial" w:cs="Arial"/>
          <w:color w:val="000000"/>
          <w:sz w:val="20"/>
          <w:szCs w:val="20"/>
          <w:lang w:val="en-US"/>
        </w:rPr>
        <w:t>Not available.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 xml:space="preserve">Toxicity of the Products of Biodegradation: </w:t>
      </w: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The products of degradation are less toxic than the product itself.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lang w:val="en-US"/>
        </w:rPr>
        <w:t>DISPOSAL CONSIDERATIONS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Waste Disposal:</w:t>
      </w:r>
    </w:p>
    <w:p w:rsidR="005342A8" w:rsidRPr="002F1832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Waste must be disposed of in accordance with federal, state and local environmental control</w:t>
      </w:r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regulations.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TRANSPORT INFORMATION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DOT Classification: </w:t>
      </w:r>
      <w:r w:rsidRPr="005342A8">
        <w:rPr>
          <w:rFonts w:ascii="Arial" w:eastAsia="SimSun" w:hAnsi="Arial" w:cs="Arial"/>
          <w:color w:val="000000"/>
          <w:sz w:val="20"/>
          <w:szCs w:val="20"/>
          <w:lang w:val="en-US"/>
        </w:rPr>
        <w:t>Class 8: corrosive material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Identification</w:t>
      </w:r>
      <w:proofErr w:type="gramStart"/>
      <w:r w:rsidRPr="005342A8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5342A8">
        <w:rPr>
          <w:rFonts w:ascii="Arial" w:eastAsia="SimSun" w:hAnsi="Arial" w:cs="Arial"/>
          <w:color w:val="000000"/>
          <w:sz w:val="20"/>
          <w:szCs w:val="20"/>
          <w:lang w:val="en-US"/>
        </w:rPr>
        <w:t>:</w:t>
      </w:r>
      <w:proofErr w:type="gramEnd"/>
      <w:r w:rsidRPr="005342A8">
        <w:rPr>
          <w:rFonts w:ascii="Arial" w:eastAsia="SimSun" w:hAnsi="Arial" w:cs="Arial"/>
          <w:color w:val="000000"/>
          <w:sz w:val="20"/>
          <w:szCs w:val="20"/>
          <w:lang w:val="en-US"/>
        </w:rPr>
        <w:t xml:space="preserve"> Hydroxylamine hydrochloride : UN2923 PG: II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REGULATORY INFORMATION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Federal and State Regulations: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TSCA 8(b) inventory: Hydroxylamine hydrochloride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TSCA 8(a) CAIR: Hydroxylamine hydrochloride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</w:pPr>
      <w:r w:rsidRPr="005342A8">
        <w:rPr>
          <w:rFonts w:ascii="Times New Roman" w:eastAsia="SimSun" w:hAnsi="Times New Roman" w:cs="Times New Roman"/>
          <w:b/>
          <w:bCs/>
          <w:color w:val="000000"/>
          <w:sz w:val="18"/>
          <w:szCs w:val="18"/>
          <w:lang w:val="en-US"/>
        </w:rPr>
        <w:t>Other Regulations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OSHA: Hazardous by definition of Hazard Communication Standard (29 CFR 1910.1200).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EINECS: This product is on the European Inventory of Existing Commercial Chemical Substances (EINECS No.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proofErr w:type="gramStart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226</w:t>
      </w:r>
      <w:proofErr w:type="gramEnd"/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-798-2).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Canada: Listed on Canadian Domestic Substance List (DSL).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China: Listed on National Inventory.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Japan: Listed on National Inventory (ENCS).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Korea: Listed on National Inventory (KECI).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Philippines: Listed on National Inventory (PICCS).</w:t>
      </w:r>
    </w:p>
    <w:p w:rsidR="005342A8" w:rsidRP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5342A8">
        <w:rPr>
          <w:rFonts w:ascii="Arial" w:eastAsia="SimSun" w:hAnsi="Arial" w:cs="Arial"/>
          <w:color w:val="000000"/>
          <w:sz w:val="17"/>
          <w:szCs w:val="17"/>
          <w:lang w:val="en-US"/>
        </w:rPr>
        <w:t>Australia: Listed on AICS.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PERSONAL PROTECTIVE EQUIPMENT</w:t>
      </w:r>
    </w:p>
    <w:p w:rsidR="005342A8" w:rsidRPr="002F1832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Eyes Wear safety glasses and chemical goggles if splashing is possible.</w:t>
      </w:r>
    </w:p>
    <w:p w:rsidR="005342A8" w:rsidRPr="002F1832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Skin Wear appropriate protective gloves to prevent skin exposure.</w:t>
      </w:r>
    </w:p>
    <w:p w:rsidR="005342A8" w:rsidRPr="002F1832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Clothing Wear appropriate protective clothing to minimize contact with skin.</w:t>
      </w:r>
    </w:p>
    <w:p w:rsidR="005342A8" w:rsidRPr="002F1832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Respirators Wear a NIOSH/MSHA or European Standard EN 149 approved full-</w:t>
      </w:r>
      <w:proofErr w:type="spellStart"/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facepiece</w:t>
      </w:r>
      <w:proofErr w:type="spellEnd"/>
      <w:r w:rsid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airline respirator in the positive pressure mode with emergency escape provisions.</w:t>
      </w:r>
    </w:p>
    <w:p w:rsidR="005342A8" w:rsidRDefault="005342A8" w:rsidP="005342A8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5342A8" w:rsidRPr="002F1832" w:rsidRDefault="005342A8" w:rsidP="002F1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2F1832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OTHER INFORMATION</w:t>
      </w:r>
    </w:p>
    <w:p w:rsidR="005814D8" w:rsidRPr="002F1832" w:rsidRDefault="005342A8" w:rsidP="002F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17"/>
          <w:szCs w:val="17"/>
          <w:lang w:val="en-US"/>
        </w:rPr>
      </w:pP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It </w:t>
      </w:r>
      <w:proofErr w:type="gramStart"/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must be </w:t>
      </w:r>
      <w:r w:rsidR="002F1832"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recognized</w:t>
      </w:r>
      <w:proofErr w:type="gramEnd"/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that the physical and chemical properties of any product may not</w:t>
      </w:r>
      <w:r w:rsidR="002F1832"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be fully understood and that new, possibly hazardous products may arise from reactions</w:t>
      </w:r>
      <w:r w:rsidR="002F1832"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between chemicals. The information given in this data sheet is based on our present</w:t>
      </w:r>
      <w:r w:rsidR="002F1832"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</w:t>
      </w:r>
      <w:proofErr w:type="gramStart"/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>knowledge and shall not constitute a guarantee for any specific product features</w:t>
      </w:r>
      <w:proofErr w:type="gramEnd"/>
      <w:r w:rsidRPr="002F1832">
        <w:rPr>
          <w:rFonts w:ascii="Arial" w:eastAsia="SimSun" w:hAnsi="Arial" w:cs="Arial"/>
          <w:color w:val="000000"/>
          <w:sz w:val="17"/>
          <w:szCs w:val="17"/>
          <w:lang w:val="en-US"/>
        </w:rPr>
        <w:t xml:space="preserve"> and shall not establish a legally valid contractual relationship.</w:t>
      </w:r>
    </w:p>
    <w:sectPr w:rsidR="005814D8" w:rsidRPr="002F1832" w:rsidSect="00333F05">
      <w:headerReference w:type="default" r:id="rId9"/>
      <w:footerReference w:type="default" r:id="rId10"/>
      <w:pgSz w:w="11906" w:h="16838"/>
      <w:pgMar w:top="1134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61" w:rsidRDefault="00684B61" w:rsidP="00684B61">
      <w:pPr>
        <w:spacing w:after="0" w:line="240" w:lineRule="auto"/>
      </w:pPr>
      <w:r>
        <w:separator/>
      </w:r>
    </w:p>
  </w:endnote>
  <w:endnote w:type="continuationSeparator" w:id="0">
    <w:p w:rsidR="00684B61" w:rsidRDefault="00684B61" w:rsidP="0068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05" w:rsidRDefault="00333F0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126365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E9E018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9.95pt" to="49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" strokecolor="#7f7f7f [1612]" strokeweight=".5pt">
              <v:stroke joinstyle="miter"/>
            </v:line>
          </w:pict>
        </mc:Fallback>
      </mc:AlternateContent>
    </w:r>
  </w:p>
  <w:tbl>
    <w:tblPr>
      <w:tblStyle w:val="a8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6"/>
      <w:gridCol w:w="222"/>
      <w:gridCol w:w="222"/>
    </w:tblGrid>
    <w:tr w:rsidR="00684B61" w:rsidRPr="00BE4B12" w:rsidTr="00333F05">
      <w:trPr>
        <w:trHeight w:val="557"/>
      </w:trPr>
      <w:tc>
        <w:tcPr>
          <w:tcW w:w="9478" w:type="dxa"/>
        </w:tcPr>
        <w:tbl>
          <w:tblPr>
            <w:tblStyle w:val="a8"/>
            <w:tblW w:w="98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07"/>
            <w:gridCol w:w="1984"/>
            <w:gridCol w:w="3119"/>
          </w:tblGrid>
          <w:tr w:rsidR="00333F05" w:rsidRPr="00BE4B12" w:rsidTr="00333F05">
            <w:trPr>
              <w:trHeight w:val="557"/>
            </w:trPr>
            <w:tc>
              <w:tcPr>
                <w:tcW w:w="4707" w:type="dxa"/>
              </w:tcPr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DF3BA0">
                  <w:rPr>
                    <w:color w:val="808080" w:themeColor="background1" w:themeShade="80"/>
                    <w:sz w:val="18"/>
                    <w:szCs w:val="18"/>
                  </w:rPr>
                  <w:t>Россия, 192076, г. Санкт-Петербург, Советский пр. 33-а.</w:t>
                </w:r>
              </w:p>
            </w:tc>
            <w:tc>
              <w:tcPr>
                <w:tcW w:w="1984" w:type="dxa"/>
              </w:tcPr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9" w:type="dxa"/>
              </w:tcPr>
              <w:p w:rsidR="00333F05" w:rsidRPr="00333F05" w:rsidRDefault="00333F05" w:rsidP="00333F05">
                <w:pPr>
                  <w:pStyle w:val="a6"/>
                  <w:rPr>
                    <w:sz w:val="18"/>
                    <w:szCs w:val="18"/>
                    <w:lang w:val="en-US"/>
                  </w:rPr>
                </w:pPr>
                <w:r w:rsidRPr="00333F05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>Website:</w:t>
                </w:r>
                <w:r w:rsidRPr="00333F05">
                  <w:rPr>
                    <w:sz w:val="18"/>
                    <w:szCs w:val="18"/>
                    <w:lang w:val="en-US"/>
                  </w:rPr>
                  <w:t xml:space="preserve">  </w:t>
                </w:r>
                <w:hyperlink r:id="rId1" w:history="1"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http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://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www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.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sktb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-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technolog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.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333F05" w:rsidRPr="00333F05" w:rsidRDefault="00333F05" w:rsidP="00333F05">
                <w:pPr>
                  <w:pStyle w:val="a6"/>
                  <w:rPr>
                    <w:sz w:val="18"/>
                    <w:szCs w:val="18"/>
                    <w:lang w:val="en-US"/>
                  </w:rPr>
                </w:pPr>
                <w:r w:rsidRPr="00333F05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>E-mail:</w:t>
                </w:r>
                <w:r w:rsidRPr="00333F05">
                  <w:rPr>
                    <w:sz w:val="18"/>
                    <w:szCs w:val="18"/>
                    <w:lang w:val="en-US"/>
                  </w:rPr>
                  <w:t xml:space="preserve">     </w:t>
                </w:r>
                <w:hyperlink r:id="rId2" w:history="1"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supply@sktb-technolog.ru</w:t>
                  </w:r>
                </w:hyperlink>
                <w:r w:rsidRPr="00333F05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DF3BA0">
                  <w:rPr>
                    <w:color w:val="808080" w:themeColor="background1" w:themeShade="80"/>
                    <w:sz w:val="18"/>
                    <w:szCs w:val="18"/>
                  </w:rPr>
                  <w:t>Тел.:         +7 (812) 244-73-56</w:t>
                </w:r>
              </w:p>
            </w:tc>
          </w:tr>
        </w:tbl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22" w:type="dxa"/>
        </w:tcPr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36" w:type="dxa"/>
        </w:tcPr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</w:rPr>
          </w:pPr>
        </w:p>
      </w:tc>
    </w:tr>
  </w:tbl>
  <w:p w:rsidR="00684B61" w:rsidRDefault="00684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61" w:rsidRDefault="00684B61" w:rsidP="00684B61">
      <w:pPr>
        <w:spacing w:after="0" w:line="240" w:lineRule="auto"/>
      </w:pPr>
      <w:r>
        <w:separator/>
      </w:r>
    </w:p>
  </w:footnote>
  <w:footnote w:type="continuationSeparator" w:id="0">
    <w:p w:rsidR="00684B61" w:rsidRDefault="00684B61" w:rsidP="0068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61" w:rsidRDefault="00684B61" w:rsidP="00684B61">
    <w:pPr>
      <w:pStyle w:val="a4"/>
      <w:tabs>
        <w:tab w:val="clear" w:pos="4677"/>
        <w:tab w:val="center" w:pos="3969"/>
      </w:tabs>
      <w:ind w:left="396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8220F6C" wp14:editId="1DB659AF">
          <wp:simplePos x="0" y="0"/>
          <wp:positionH relativeFrom="margin">
            <wp:align>left</wp:align>
          </wp:positionH>
          <wp:positionV relativeFrom="paragraph">
            <wp:posOffset>55880</wp:posOffset>
          </wp:positionV>
          <wp:extent cx="2247900" cy="569595"/>
          <wp:effectExtent l="0" t="0" r="0" b="1905"/>
          <wp:wrapNone/>
          <wp:docPr id="21" name="Рисунок 21" descr="Y:\КОММЕРЧЕСКИЙ ОТДЕЛ\Реклама\LOGO Technolog NEW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КОММЕРЧЕСКИЙ ОТДЕЛ\Реклама\LOGO Technolog NEW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B61" w:rsidRPr="00684B61" w:rsidRDefault="00684B61" w:rsidP="00684B61">
    <w:pPr>
      <w:pStyle w:val="a4"/>
      <w:tabs>
        <w:tab w:val="clear" w:pos="4677"/>
        <w:tab w:val="clear" w:pos="9355"/>
        <w:tab w:val="center" w:pos="3969"/>
        <w:tab w:val="right" w:pos="10063"/>
      </w:tabs>
      <w:ind w:left="3969"/>
      <w:rPr>
        <w:color w:val="808080" w:themeColor="background1" w:themeShade="80"/>
        <w:sz w:val="20"/>
        <w:szCs w:val="20"/>
      </w:rPr>
    </w:pPr>
    <w:r w:rsidRPr="00684B61">
      <w:rPr>
        <w:color w:val="808080" w:themeColor="background1" w:themeShade="80"/>
        <w:sz w:val="20"/>
        <w:szCs w:val="20"/>
      </w:rPr>
      <w:t>Федеральное Государственное Унитарное Предприятие «Специальное Конструкторско-Технологическое Бюро «Технолог»</w:t>
    </w:r>
  </w:p>
  <w:p w:rsidR="00333F05" w:rsidRDefault="00333F05" w:rsidP="00333F05">
    <w:pPr>
      <w:pStyle w:val="a4"/>
    </w:pPr>
  </w:p>
  <w:p w:rsidR="00333F05" w:rsidRDefault="00333F05" w:rsidP="00333F0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E5C42" wp14:editId="4C961D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0"/>
              <wp:effectExtent l="0" t="0" r="1905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91BB0" id="Прямая соединительная линия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" strokecolor="#7f7f7f [1612]" strokeweight=".5pt">
              <v:stroke joinstyle="miter"/>
            </v:line>
          </w:pict>
        </mc:Fallback>
      </mc:AlternateContent>
    </w:r>
  </w:p>
  <w:p w:rsidR="00684B61" w:rsidRDefault="00684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259"/>
    <w:multiLevelType w:val="hybridMultilevel"/>
    <w:tmpl w:val="A62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0CJDp/efT+d7pLyXGucAzQKHY9EO2TN2/jYf3x2cafQI2JcxZPxY4DEr6V6KUdZAJZjPMWjTQ8qoPu34YynwA==" w:salt="uf7oW0OLnv0+ReRkpJVin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C"/>
    <w:rsid w:val="002F1832"/>
    <w:rsid w:val="00333F05"/>
    <w:rsid w:val="004C6DDC"/>
    <w:rsid w:val="005342A8"/>
    <w:rsid w:val="005814D8"/>
    <w:rsid w:val="00684B61"/>
    <w:rsid w:val="00697C1C"/>
    <w:rsid w:val="0097725F"/>
    <w:rsid w:val="00BD2C50"/>
    <w:rsid w:val="00C16269"/>
    <w:rsid w:val="00E728E5"/>
    <w:rsid w:val="00EC2584"/>
    <w:rsid w:val="00FA4A70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3DBA18-C3D7-4539-BE7A-3A84E7B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DC"/>
    <w:pPr>
      <w:ind w:left="720"/>
      <w:contextualSpacing/>
    </w:pPr>
  </w:style>
  <w:style w:type="paragraph" w:styleId="a4">
    <w:name w:val="header"/>
    <w:basedOn w:val="a"/>
    <w:link w:val="a5"/>
    <w:unhideWhenUsed/>
    <w:rsid w:val="0068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4B61"/>
  </w:style>
  <w:style w:type="paragraph" w:styleId="a6">
    <w:name w:val="footer"/>
    <w:basedOn w:val="a"/>
    <w:link w:val="a7"/>
    <w:unhideWhenUsed/>
    <w:rsid w:val="0068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B61"/>
  </w:style>
  <w:style w:type="table" w:styleId="a8">
    <w:name w:val="Table Grid"/>
    <w:basedOn w:val="a1"/>
    <w:uiPriority w:val="59"/>
    <w:rsid w:val="0068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8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technolog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-SQL\Share_File\&#1050;&#1054;&#1052;&#1052;&#1045;&#1056;&#1063;&#1045;&#1057;&#1050;&#1048;&#1049;%20&#1054;&#1058;&#1044;&#1045;&#1051;\&#1057;&#1040;&#1049;&#1058;\&#1043;&#1080;&#1076;&#1088;&#1086;&#1082;&#1089;&#1080;&#1083;&#1072;&#1084;&#1080;&#1085;%20&#1075;&#1080;&#1076;&#1088;&#1086;&#1093;&#1083;&#1086;&#1088;&#1080;&#1076;\supply@sktb-techno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ly@sktb-technolog.ru" TargetMode="External"/><Relationship Id="rId1" Type="http://schemas.openxmlformats.org/officeDocument/2006/relationships/hyperlink" Target="http://www.sktb-techno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1573</Words>
  <Characters>8968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Волчок Дмитрий Валерьевич</dc:creator>
  <cp:keywords/>
  <dc:description/>
  <cp:lastModifiedBy>Волчок Дмитрий Валерьевич</cp:lastModifiedBy>
  <cp:revision>3</cp:revision>
  <dcterms:created xsi:type="dcterms:W3CDTF">2015-11-13T13:51:00Z</dcterms:created>
  <dcterms:modified xsi:type="dcterms:W3CDTF">2015-11-13T13:51:00Z</dcterms:modified>
</cp:coreProperties>
</file>